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Route 62 MX Park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Parental Consent/Guardian Authorization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b w:val="0"/>
          <w:bCs w:val="0"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*This form must be notarized*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Date:  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Parent Consent: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I ______________________________, parent of __________________________ give permiss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ion for ______________________________(guardian) to sign any/all releases for my minor child _______________________________, who is ________ years old, to practice and/or race at Route 62 MX Park on the following date(s) _____________ to ______________. 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I ______________________________, parent of __________________________ give permission for ______________________________(guardian) to make any medical decisions necessary for my minor child. 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CONTACT INFO:  (please print)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Father Name:  ___________________________________ Phone (_______)_________________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Mother Name:  ___________________________________Phone (_______)_________________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Participant Name:  __________________________________Age 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Any known medications, allergies, conditions:  _________________________________________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______________________________________________________________________________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I acknowledge there is no insurance provided, I assume all responsibility for my minor child to participate and be present on the property with _______________________________ (guardian). 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Father’s Signature ________________________________________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Mother’s Signature ________________________________________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Guardian Consent: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I _________________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______________, guardian of __________________________ take full responsibility for this minor child and will remain at event, on premises with this minor child, the entire time period listed above.  I am competent to make any medical decisions necessary.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Guardian’s Signature_____________________________________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Notary signature stamp/seal:  __________________________________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sectPr>
      <w:footnotePr/>
      <w:endnotePr/>
      <w:type w:val="nextPage"/>
      <w:pgSz w:h="15840" w:orient="landscape" w:w="12240"/>
      <w:pgMar w:top="288" w:right="720" w:bottom="288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2024-02-02T21:46:35Z</dcterms:modified>
</cp:coreProperties>
</file>